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w:t>
      </w:r>
      <w:r w:rsidR="006C48C7">
        <w:t>7</w:t>
      </w:r>
      <w:r w:rsidRPr="00417895">
        <w:t xml:space="preserve">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r w:rsidR="000C2B00" w:rsidRPr="00417895">
        <w:rPr>
          <w:b/>
        </w:rPr>
        <w:t>МСК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r w:rsidR="00A76658" w:rsidRPr="00417895">
        <w:rPr>
          <w:b/>
        </w:rPr>
        <w:t>Борисенкова</w:t>
      </w:r>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по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с даты окончания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3.2. 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3.5.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(сто восемьдесят)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112FFA" w:rsidRDefault="00112FFA" w:rsidP="00112FFA">
      <w:pPr>
        <w:pStyle w:val="af0"/>
        <w:widowControl w:val="0"/>
        <w:numPr>
          <w:ilvl w:val="0"/>
          <w:numId w:val="28"/>
        </w:numPr>
        <w:autoSpaceDE w:val="0"/>
        <w:autoSpaceDN w:val="0"/>
        <w:adjustRightInd w:val="0"/>
        <w:jc w:val="center"/>
        <w:outlineLvl w:val="0"/>
        <w:rPr>
          <w:b/>
        </w:rPr>
      </w:pPr>
      <w:bookmarkStart w:id="0" w:name="_GoBack"/>
      <w:bookmarkEnd w:id="0"/>
      <w:r>
        <w:rPr>
          <w:b/>
        </w:rPr>
        <w:t>СРОКИ, ПОРЯДОК СДАЧИ И ПРИЕМКИ РАБОТ</w:t>
      </w: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 xml:space="preserve">4.3.7. После устранения принятых замечаний и внесения необходимых доработок, сдача </w:t>
      </w:r>
      <w:r w:rsidRPr="00417895">
        <w:lastRenderedPageBreak/>
        <w:t>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 xml:space="preserve">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w:t>
      </w:r>
      <w:r w:rsidRPr="00417895">
        <w:lastRenderedPageBreak/>
        <w:t>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7.1. Настоящий Договор вступает в силу с даты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xml:space="preserve">-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w:t>
      </w:r>
      <w:r w:rsidRPr="00417895">
        <w:lastRenderedPageBreak/>
        <w:t>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качество материалов и конструкций должно соответствовать ГОСТам и другим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D678FC" w:rsidRPr="00417895" w:rsidRDefault="00D678FC" w:rsidP="00C06C4B">
      <w:pPr>
        <w:widowControl w:val="0"/>
        <w:autoSpaceDE w:val="0"/>
        <w:autoSpaceDN w:val="0"/>
        <w:adjustRightInd w:val="0"/>
        <w:ind w:firstLine="567"/>
        <w:jc w:val="both"/>
      </w:pPr>
      <w:r w:rsidRPr="00417895">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D678FC" w:rsidRPr="00417895" w:rsidRDefault="00D678FC" w:rsidP="00D678FC">
      <w:pPr>
        <w:widowControl w:val="0"/>
        <w:autoSpaceDE w:val="0"/>
        <w:autoSpaceDN w:val="0"/>
        <w:adjustRightInd w:val="0"/>
        <w:ind w:firstLine="567"/>
        <w:jc w:val="both"/>
      </w:pPr>
      <w:r w:rsidRPr="00417895">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BB5DCA" w:rsidRPr="00417895" w:rsidRDefault="00D678FC" w:rsidP="00E32026">
      <w:pPr>
        <w:pStyle w:val="af3"/>
        <w:ind w:firstLine="525"/>
        <w:jc w:val="both"/>
      </w:pPr>
      <w:r w:rsidRPr="00417895">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незаключенности при невозможности разрешения возникшего между сторонами спора в порядке, предусмотренном в пп. 10.1 и 10.2 настоящего договора, подлежат передаче на рассмотрение и окончательное разрешение в постоянно действующий Третейский суд при ООО «Адрем Трейдинг» (ОГРН 1047796597419). Решение Третейского суда является окончательным. Все исковые материалы будут направляться Сторонами почтой по адресу, указанном на сайте </w:t>
      </w:r>
      <w:hyperlink r:id="rId8" w:history="1">
        <w:r w:rsidRPr="00417895">
          <w:rPr>
            <w:rStyle w:val="af4"/>
          </w:rPr>
          <w:t>www.adrem-trading.com</w:t>
        </w:r>
      </w:hyperlink>
      <w:r w:rsidRPr="00417895">
        <w:t>. Настоящая третейская оговорка принята Сторонами добровольно. Она является юридически самостоятельной и не зависит от других условий Договора. Признание Договора недействительным (ничтожным) не влечет за собой, в силу закона, недействительности настоящей третейской оговорки.</w:t>
      </w:r>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 xml:space="preserve">Сроки начала и окончания работ могут быть изменены по взаимному согласованию </w:t>
      </w:r>
      <w:r w:rsidRPr="00417895">
        <w:lastRenderedPageBreak/>
        <w:t>сторон, что скрепляется дополнительным соглашением, становящегося с момента его подписания 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r w:rsidR="000C2B00" w:rsidRPr="00417895">
              <w:rPr>
                <w:rFonts w:ascii="Times New Roman" w:hAnsi="Times New Roman"/>
                <w:b/>
                <w:sz w:val="24"/>
                <w:szCs w:val="24"/>
              </w:rPr>
              <w:t>МСК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9"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0"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r w:rsidRPr="00417895">
              <w:t xml:space="preserve">р/с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B848F1">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p>
        </w:tc>
      </w:tr>
    </w:tbl>
    <w:p w:rsidR="00963AC9" w:rsidRPr="004D7CE2" w:rsidRDefault="00963AC9" w:rsidP="000D6A7E">
      <w:pPr>
        <w:widowControl w:val="0"/>
        <w:autoSpaceDE w:val="0"/>
        <w:autoSpaceDN w:val="0"/>
        <w:adjustRightInd w:val="0"/>
        <w:jc w:val="both"/>
        <w:rPr>
          <w:snapToGrid w:val="0"/>
        </w:rPr>
      </w:pPr>
    </w:p>
    <w:sectPr w:rsidR="00963AC9" w:rsidRPr="004D7CE2" w:rsidSect="00344330">
      <w:headerReference w:type="default" r:id="rId11"/>
      <w:footerReference w:type="even" r:id="rId12"/>
      <w:footerReference w:type="default" r:id="rId13"/>
      <w:headerReference w:type="first" r:id="rId14"/>
      <w:footerReference w:type="first" r:id="rId15"/>
      <w:pgSz w:w="12240" w:h="15840"/>
      <w:pgMar w:top="-576" w:right="850" w:bottom="426" w:left="1134" w:header="284" w:footer="27" w:gutter="0"/>
      <w:pgNumType w:start="1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74" w:rsidRDefault="00847B74">
      <w:r>
        <w:separator/>
      </w:r>
    </w:p>
  </w:endnote>
  <w:endnote w:type="continuationSeparator" w:id="0">
    <w:p w:rsidR="00847B74" w:rsidRDefault="008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5818"/>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0D6A7E">
          <w:rPr>
            <w:noProof/>
          </w:rPr>
          <w:t>23</w:t>
        </w:r>
        <w:r>
          <w:fldChar w:fldCharType="end"/>
        </w:r>
      </w:p>
    </w:sdtContent>
  </w:sdt>
  <w:p w:rsidR="00925A58" w:rsidRPr="00E35B56" w:rsidRDefault="00925A58" w:rsidP="00F67532">
    <w:pPr>
      <w:pStyle w:val="a3"/>
      <w:ind w:right="360"/>
      <w:rPr>
        <w:outline/>
        <w:color w:val="FFFFFF" w:themeColor="background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87599"/>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0D6A7E">
          <w:rPr>
            <w:noProof/>
          </w:rPr>
          <w:t>18</w:t>
        </w:r>
        <w:r>
          <w:fldChar w:fldCharType="end"/>
        </w:r>
      </w:p>
    </w:sdtContent>
  </w:sdt>
  <w:p w:rsidR="006E5C30" w:rsidRDefault="006E5C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74" w:rsidRDefault="00847B74">
      <w:r>
        <w:separator/>
      </w:r>
    </w:p>
  </w:footnote>
  <w:footnote w:type="continuationSeparator" w:id="0">
    <w:p w:rsidR="00847B74" w:rsidRDefault="0084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BE17BF" w:rsidRDefault="00BE1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263AAE"/>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15:restartNumberingAfterBreak="0">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15:restartNumberingAfterBreak="0">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15:restartNumberingAfterBreak="0">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D6A7E"/>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465A"/>
    <w:rsid w:val="00165FC3"/>
    <w:rsid w:val="00166D48"/>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8C7"/>
    <w:rsid w:val="006C4FED"/>
    <w:rsid w:val="006D04FA"/>
    <w:rsid w:val="006D06AA"/>
    <w:rsid w:val="006D1486"/>
    <w:rsid w:val="006E4EFF"/>
    <w:rsid w:val="006E5C30"/>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C55"/>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48F1"/>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487C0956-BC02-40D8-AD55-4613875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m-trad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kenet.ru" TargetMode="External"/><Relationship Id="rId4" Type="http://schemas.openxmlformats.org/officeDocument/2006/relationships/settings" Target="settings.xml"/><Relationship Id="rId9" Type="http://schemas.openxmlformats.org/officeDocument/2006/relationships/hyperlink" Target="tel:+7495516049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72D7-D989-46A9-9465-B4471D6D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7</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Авсеевич Алексей Викторович</cp:lastModifiedBy>
  <cp:revision>80</cp:revision>
  <cp:lastPrinted>2017-01-13T07:24:00Z</cp:lastPrinted>
  <dcterms:created xsi:type="dcterms:W3CDTF">2016-02-18T10:22:00Z</dcterms:created>
  <dcterms:modified xsi:type="dcterms:W3CDTF">2017-01-26T13:14:00Z</dcterms:modified>
</cp:coreProperties>
</file>